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20 322 vom 16. Februar 2022</w:t>
      </w:r>
    </w:p>
    <w:p>
      <w:r>
        <w:t>VS Kantonsgericht, 2022-02-16, FR</w:t>
      </w:r>
    </w:p>
    <w:p>
      <w:r>
        <w:rPr>
          <w:b/>
        </w:rPr>
        <w:t xml:space="preserve">Quelle: </w:t>
      </w:r>
      <w:r>
        <w:t>https://mcp.opencaselaw.ch/entscheid/vs_gerichte_C1 20 322</w:t>
      </w:r>
    </w:p>
    <w:p>
      <w:r>
        <w:t>FR: VS_GERICHTE C1 20 322 du 16 février 2022</w:t>
      </w:r>
    </w:p>
    <w:p>
      <w:r>
        <w:t>IT: VS_GERICHTE C1 20 322 del 16 febbraio 2022</w:t>
      </w:r>
    </w:p>
    <w:p>
      <w:pPr>
        <w:pStyle w:val="Heading2"/>
      </w:pPr>
      <w:r>
        <w:t>Regeste</w:t>
      </w:r>
    </w:p>
    <w:p>
      <w:r>
        <w:t>C1 20 322 ARRÊT DU 16 FÉVRIER 2022 Tribunal cantonal du Valais Autorité de recours en matière de protection de l'enfant et de l'adulte Camille Rey-Mermet, présidente ; Céline Maytain, greffière en la cause X _________, recourant, représenté par Maître Damien Hottelier contre Y _________, intimée au recours (droit d’être entendu) recours contre la décision du 9 décembre 2020 de l’Autorité de protection de l’Enfant et de l’Adulte des Deux Rives, à Saxon</w:t>
      </w:r>
    </w:p>
    <w:p>
      <w:pPr>
        <w:pStyle w:val="Heading2"/>
      </w:pPr>
      <w:r>
        <w:t>Erwägungen</w:t>
      </w:r>
    </w:p>
    <w:p>
      <w:r>
        <w:rPr>
          <w:b/>
        </w:rPr>
        <w:t>E. 1</w:t>
      </w:r>
    </w:p>
    <w:p>
      <w:r>
        <w:t>CC; art. 114 LACC).</w:t>
      </w:r>
    </w:p>
    <w:p>
      <w:r>
        <w:rPr>
          <w:b/>
        </w:rPr>
        <w:t>E. 1.1</w:t>
      </w:r>
    </w:p>
    <w:p>
      <w:r>
        <w:t>Les décisions de l'autorité de protection peuvent faire l'objet d'un recours devant un juge unique du Tribunal cantonal (art. 450 al. 1 CC applicable par renvoi de l'art. 314 al.</w:t>
      </w:r>
    </w:p>
    <w:p>
      <w:r>
        <w:rPr>
          <w:b/>
        </w:rPr>
        <w:t>E. 1.2</w:t>
      </w:r>
    </w:p>
    <w:p>
      <w:r>
        <w:t>La décision de mesures provisionnelles, expédiée le 17 décembre 2020, a été notifiée au recourant au plus tôt le lendemain. En interjetant recours le 28 décembre suivant, il a agi dans le délai légal de dix jours (art. 445 al. 3 CC).</w:t>
      </w:r>
    </w:p>
    <w:p>
      <w:r>
        <w:rPr>
          <w:b/>
        </w:rPr>
        <w:t>E. 1.3</w:t>
      </w:r>
    </w:p>
    <w:p>
      <w:r>
        <w:t>En tant que partie à la procédure devant l'autorité précédente, le recourant a manifestement la qualité pour recourir (art. 450 al. 2 ch. 1 CC).</w:t>
      </w:r>
    </w:p>
    <w:p>
      <w:r>
        <w:rPr>
          <w:b/>
        </w:rPr>
        <w:t>E. 2</w:t>
      </w:r>
    </w:p>
    <w:p>
      <w:r>
        <w:t>Le recourant reproche à l’autorité précédente d’avoir violé son droit d’être entendu car il n’a pas pu se déterminer sur les propos du Dr F _________ et du Dr H _________, pédiatre des enfants. 2.1.1 Conformément aux art. 29 al. 2 Cst. et 6 CEDH, les parties ont le droit d'être entendues. Compris comme l'un des aspects de la notion générale de procès équitable, le droit d'être entendu sert, d'une part, à l'éclaircissement de l'état de fait et constitue, d'autre part, le droit personnel d'une partie à participer à la procédure conduisant à une décision qui porte atteinte à sa situation juridique. Il comprend notamment le droit de la partie de s'exprimer avant qu'une décision ne soit prise à son détriment, de fournir des preuves, de consulter le dossier et d'être entendue dans les offres de preuve relatives à des faits déterminants, de participer à l'administration de telles preuves ou au moins de se déterminer sur le résultat de l'administration des preuves (ATF 144 I 11 consid. 5.3 ; 143 V 71 consid. 4.1). 2.1.2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w:t>
      </w:r>
    </w:p>
    <w:p>
      <w:r>
        <w:t>- 5 -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3.4.1 et les arrêts cités). 2.1.3 Quant au droit de consulter le dossier qui est une autre composante du droit d’être entendu, il implique un devoir des autorités de tenir le dossier. Les autorités doivent dès lors mettre au dossier tout ce qui relève de l’affaire et peut être pertinent pour la décision (ATF 142 I 86 c. 2.2; 138 V 218 c. 8.1.2; 130 II 473 c. 4.1). Ne font en revanche pas partie du dossier les documents purement internes qui sont exclusivement destinés à la formation interne de l’opinion du tribunal et qui n’ont pas le caractère de moyens de preuves. Selon la jurisprudence, le justiciable ne peut pas exiger la consultation de documents internes, à moins que la loi le prévoie expressément (ATF 125 II 473 consid. 4a p. 474; 122 I 153 consid. 6a). Il s'agit d’avis personnels donnés par un membre de l’autorité à un autre, de projets, de rapports, de propositions, des notes dans lesquelles le tribunal consigne ses réflexions sur l'affaire en cause ou de communications entre les membres de l’autorité traitant le dossier (ATF 125 II 473 consid. 4a). Si l’autorité omet de joindre au dossier toutes les pièces pertinentes pour la procédure et d’accorder à une partie la consultation de toutes les pièces décisives, elle viole son devoir de tenir le dossier et le droit de cette partie de le consulter. 2.1.4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Cela étant, une réparation de la violation du droit d'être entendu peut également se justifier, même en présence d'un vice grave, lorsque le renvoi constituerait une vaine formalité et aboutirait à un allongement inutile de la procédure incompatible avec l'intérêt de la partie concernée (ATF 137 I 195 consid. 2.3.2; 133 I 201 consid. 2.2). S’agissant de l’omission par une autorité de transmettre des éléments de procédure aux parties, elle peut être réparée par l’autorité de recours à condition que celle-ci dispose du même pouvoir de cognition et que les parties aient eu l’occasion de se prononcer sur les éléments de la procédure. Cela suppose que l’autorité de recours les leur communique ; le simple fait que les parties aient accès au dossier ne remplace pas une telle communication (ATF 137 I 195 consid. 2.6 ; arrêt 5A_535/2012 du 6 décembre 2012 consid. 2.3).</w:t>
      </w:r>
    </w:p>
    <w:p>
      <w:r>
        <w:t>- 6 -</w:t>
      </w:r>
    </w:p>
    <w:p>
      <w:r>
        <w:rPr>
          <w:b/>
        </w:rPr>
        <w:t>E. 2.2</w:t>
      </w:r>
    </w:p>
    <w:p>
      <w:r>
        <w:t>En l'espèce, le Dr F _________, psychiatre, et G _________, psychologue, ont entendu les enfants sur mandat de l’APEA le 11 novembre 2020. C’est à tort que l’autorité précédente les désigne comme assesseurs puisque, selon la décision entreprise, ils ne figurent pas dans la composition de l’autorité. Le médecin et la psychologue ont ensuite transmis un compte rendu de cette audition à l’APEA qui était suivi de brèves réflexions sur les besoins de filles et sur le fait qu’elles ne semblaient pas être instrumentalisées par la mère. Etait joint un échange de courriels du Dr F _________ avec la mère. Aucun de ces documents ni même un résumé de l’audition des enfants (cf. art. 314a al. 2 CC) n’ont été communiqués au recourant ce qui constitue une violation de son droit d’être entendu. En outre, la décision attaquée fait état d’un entretien du Dr F _________ avec le pédiatre des enfants, le Dr H _________. On ne trouve pas trace dans le dossier du moindre résumé des déclarations recueillies, de sorte que les parties n’ont pas eu l’occasion de s’exprimer à ce sujet, de requérir des compléments écrits, voire l’audition du Dr H _________, à supposer que des incertitudes émanent de ses propos. Il s’agit là aussi d’une entorse au droit d’être entendu du recourant. Ces violations sont d’autant plus graves qu’elles concernent des éléments décisifs. En effet, l’APEA s’est fondée sur l’audition des enfants, les propos du Dr F _________ et du pédiatre pour s’écarter des conclusions de l’expertise et motiver la suspension des relations personnelles. À noter que même si ces éléments ne s’étaient pas révélés déterminants, il incombait à l’APEA de les communiquer aux parties pour leur permettre de décider si elles souhaitaient ou non faire usage de leur faculté de se déterminer. Faute pour le recourant d’avoir eu la possibilité de se prononcer sur l’audition des enfants, les propos du Dr Rouby et ceux du Dr Lorenz, éléments nouveaux et décisifs pour le sort de la cause, son droit d’être entendu a été violé. Le Tribunal cantonal n’est pas en mesure de réparer ces vices en transmettant au recourant les pièces dont il n’a pas eu connaissance puisque le dossier doit être complété s’agissant des déclarations du Dr H _________. En conséquence, la décision querellée est annulée et la cause est renvoyée à l’autorité précédente, à charge pour elle de respecter le droit d’être entendu du recourant en complétant le dossier et en fixant aux parties un délai pour faire valoir leurs observations sur les propos du Dr H _________ et du Dr F _________. Vu le sort réservé au recours, il n’est pas nécessaire d’examiner les autres griefs invoqués par le recourant.</w:t>
      </w:r>
    </w:p>
    <w:p>
      <w:r>
        <w:t>- 7 -</w:t>
      </w:r>
    </w:p>
    <w:p>
      <w:r>
        <w:rPr>
          <w:b/>
        </w:rPr>
        <w:t>E. 3</w:t>
      </w:r>
    </w:p>
    <w:p>
      <w:r>
        <w:t>Y _________ versera à X _________ une indemnité de dépens de 1000 francs.</w:t>
      </w:r>
    </w:p>
    <w:p>
      <w:r>
        <w:t>Sion, le 16 février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